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9195"/>
      </w:tblGrid>
      <w:tr w:rsidR="0013300B" w:rsidTr="0013300B">
        <w:trPr>
          <w:trHeight w:val="2700"/>
          <w:jc w:val="center"/>
        </w:trPr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0B" w:rsidRDefault="0013300B">
            <w:pPr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228725" cy="1590675"/>
                  <wp:effectExtent l="0" t="0" r="9525" b="9525"/>
                  <wp:docPr id="2" name="Picture 2" descr="cid:image001.jpg@01CF2D88.E9070F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2D88.E9070F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0B" w:rsidRDefault="0013300B">
            <w:pPr>
              <w:spacing w:after="60"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Minneapolis Police Department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13300B" w:rsidRDefault="0013300B">
            <w:pPr>
              <w:spacing w:after="60" w:line="276" w:lineRule="auto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COMMITMENT, INTEGRITY &amp; TRANSPARENCY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            </w:t>
            </w:r>
          </w:p>
          <w:p w:rsidR="0013300B" w:rsidRDefault="001330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5029200" cy="76200"/>
                  <wp:effectExtent l="0" t="0" r="0" b="0"/>
                  <wp:docPr id="1" name="Picture 1" descr="cid:image002.png@01CF2D88.E9070F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F2D88.E9070F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00B" w:rsidRDefault="0013300B">
            <w:pPr>
              <w:spacing w:after="6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Media Release</w:t>
            </w:r>
          </w:p>
          <w:p w:rsidR="0013300B" w:rsidRDefault="0013300B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AC400A" w:rsidRDefault="0013300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Contact: </w:t>
            </w:r>
          </w:p>
          <w:p w:rsidR="00AC400A" w:rsidRDefault="00AC400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Elder</w:t>
            </w:r>
          </w:p>
          <w:p w:rsidR="00AC400A" w:rsidRDefault="00AC400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612-673-3829 Office</w:t>
            </w:r>
          </w:p>
          <w:p w:rsidR="00AC400A" w:rsidRDefault="00AC400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612-578-4322 Mobile</w:t>
            </w:r>
          </w:p>
          <w:p w:rsidR="00AC400A" w:rsidRDefault="00AC400A">
            <w:pPr>
              <w:spacing w:line="276" w:lineRule="auto"/>
              <w:jc w:val="right"/>
              <w:rPr>
                <w:rFonts w:ascii="Arial" w:hAnsi="Arial" w:cs="Arial"/>
              </w:rPr>
            </w:pPr>
            <w:hyperlink r:id="rId9" w:history="1">
              <w:r w:rsidRPr="0039610C">
                <w:rPr>
                  <w:rStyle w:val="Hyperlink"/>
                  <w:rFonts w:ascii="Arial" w:hAnsi="Arial" w:cs="Arial"/>
                </w:rPr>
                <w:t>John.elder@minneapolismn.gov</w:t>
              </w:r>
            </w:hyperlink>
          </w:p>
          <w:p w:rsidR="00AC400A" w:rsidRDefault="00AC400A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13300B" w:rsidRDefault="0013300B" w:rsidP="00AC400A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 Seroka </w:t>
            </w:r>
          </w:p>
          <w:p w:rsidR="0013300B" w:rsidRDefault="0013300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612-673-3524 Office</w:t>
            </w:r>
          </w:p>
          <w:p w:rsidR="0013300B" w:rsidRDefault="0013300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612-412-2889 Mobile </w:t>
            </w:r>
          </w:p>
          <w:p w:rsidR="0013300B" w:rsidRDefault="00232F17">
            <w:pPr>
              <w:spacing w:line="276" w:lineRule="auto"/>
              <w:jc w:val="right"/>
              <w:rPr>
                <w:rFonts w:ascii="Arial" w:hAnsi="Arial" w:cs="Arial"/>
              </w:rPr>
            </w:pPr>
            <w:hyperlink r:id="rId10" w:history="1">
              <w:r w:rsidR="0013300B">
                <w:rPr>
                  <w:rStyle w:val="Hyperlink"/>
                  <w:rFonts w:ascii="Arial" w:hAnsi="Arial" w:cs="Arial"/>
                </w:rPr>
                <w:t>scott.seroka@minneapolismn.gov</w:t>
              </w:r>
            </w:hyperlink>
          </w:p>
          <w:p w:rsidR="0013300B" w:rsidRDefault="0013300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@MPD_PIO</w:t>
            </w:r>
          </w:p>
          <w:p w:rsidR="0013300B" w:rsidRDefault="0013300B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13300B" w:rsidRDefault="0013300B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3300B" w:rsidRDefault="0013300B" w:rsidP="001330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Minneapolis Police </w:t>
      </w:r>
      <w:r w:rsidR="00AC400A">
        <w:rPr>
          <w:b/>
          <w:bCs/>
          <w:sz w:val="36"/>
          <w:szCs w:val="36"/>
        </w:rPr>
        <w:t>to Conduct Shot Spotter Calibration Tests</w:t>
      </w:r>
    </w:p>
    <w:p w:rsidR="0013300B" w:rsidRPr="00AC400A" w:rsidRDefault="0013300B" w:rsidP="0013300B">
      <w:pPr>
        <w:rPr>
          <w:sz w:val="16"/>
          <w:szCs w:val="16"/>
        </w:rPr>
      </w:pPr>
    </w:p>
    <w:p w:rsidR="0013300B" w:rsidRDefault="00AC400A" w:rsidP="00AC400A">
      <w:pPr>
        <w:rPr>
          <w:sz w:val="28"/>
          <w:szCs w:val="28"/>
        </w:rPr>
      </w:pPr>
      <w:r>
        <w:rPr>
          <w:sz w:val="28"/>
          <w:szCs w:val="28"/>
        </w:rPr>
        <w:t>September 1</w:t>
      </w:r>
      <w:r w:rsidR="00232F17">
        <w:rPr>
          <w:sz w:val="28"/>
          <w:szCs w:val="28"/>
        </w:rPr>
        <w:t>8</w:t>
      </w:r>
      <w:r>
        <w:rPr>
          <w:sz w:val="28"/>
          <w:szCs w:val="28"/>
        </w:rPr>
        <w:t>, 2014</w:t>
      </w:r>
      <w:r w:rsidR="0013300B">
        <w:rPr>
          <w:sz w:val="28"/>
          <w:szCs w:val="28"/>
        </w:rPr>
        <w:t xml:space="preserve"> (MINNEAPOLIS) The Minneapolis Police Department </w:t>
      </w:r>
      <w:r>
        <w:rPr>
          <w:sz w:val="28"/>
          <w:szCs w:val="28"/>
        </w:rPr>
        <w:t>would like to notify the general public that on the evening of September 18</w:t>
      </w:r>
      <w:r w:rsidRPr="00AC40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approximately between the hours of 7 and 9 p</w:t>
      </w:r>
      <w:r w:rsidR="00232F17">
        <w:rPr>
          <w:sz w:val="28"/>
          <w:szCs w:val="28"/>
        </w:rPr>
        <w:t>.</w:t>
      </w:r>
      <w:r>
        <w:rPr>
          <w:sz w:val="28"/>
          <w:szCs w:val="28"/>
        </w:rPr>
        <w:t xml:space="preserve">m., we will be conducting </w:t>
      </w:r>
      <w:r w:rsidR="0060442E">
        <w:rPr>
          <w:sz w:val="28"/>
          <w:szCs w:val="28"/>
        </w:rPr>
        <w:t>Shot S</w:t>
      </w:r>
      <w:r>
        <w:rPr>
          <w:sz w:val="28"/>
          <w:szCs w:val="28"/>
        </w:rPr>
        <w:t>potter calibration.  We have recently</w:t>
      </w:r>
      <w:r w:rsidR="0060442E">
        <w:rPr>
          <w:sz w:val="28"/>
          <w:szCs w:val="28"/>
        </w:rPr>
        <w:t>,</w:t>
      </w:r>
      <w:r>
        <w:rPr>
          <w:sz w:val="28"/>
          <w:szCs w:val="28"/>
        </w:rPr>
        <w:t xml:space="preserve"> and significantly</w:t>
      </w:r>
      <w:r w:rsidR="0060442E">
        <w:rPr>
          <w:sz w:val="28"/>
          <w:szCs w:val="28"/>
        </w:rPr>
        <w:t>,</w:t>
      </w:r>
      <w:r>
        <w:rPr>
          <w:sz w:val="28"/>
          <w:szCs w:val="28"/>
        </w:rPr>
        <w:t xml:space="preserve"> increased our coverage area in an effort to increase public safety</w:t>
      </w:r>
      <w:r w:rsidR="0060442E">
        <w:rPr>
          <w:sz w:val="28"/>
          <w:szCs w:val="28"/>
        </w:rPr>
        <w:t>,</w:t>
      </w:r>
      <w:r>
        <w:rPr>
          <w:sz w:val="28"/>
          <w:szCs w:val="28"/>
        </w:rPr>
        <w:t xml:space="preserve"> aid in response time and </w:t>
      </w:r>
      <w:r w:rsidR="00232F17">
        <w:rPr>
          <w:sz w:val="28"/>
          <w:szCs w:val="28"/>
        </w:rPr>
        <w:t>help investigators gather evidence.</w:t>
      </w:r>
    </w:p>
    <w:p w:rsidR="00AC400A" w:rsidRPr="00AC400A" w:rsidRDefault="00AC400A" w:rsidP="00AC400A">
      <w:pPr>
        <w:rPr>
          <w:sz w:val="16"/>
          <w:szCs w:val="16"/>
        </w:rPr>
      </w:pPr>
    </w:p>
    <w:p w:rsidR="00AC400A" w:rsidRDefault="00AC400A" w:rsidP="00AC400A">
      <w:pPr>
        <w:rPr>
          <w:sz w:val="28"/>
          <w:szCs w:val="28"/>
        </w:rPr>
      </w:pPr>
      <w:r>
        <w:rPr>
          <w:sz w:val="28"/>
          <w:szCs w:val="28"/>
        </w:rPr>
        <w:t>The only way to test to ensure the system is operating correctly is by using “live fire.”  Live fire means an</w:t>
      </w:r>
      <w:bookmarkStart w:id="0" w:name="_GoBack"/>
      <w:bookmarkEnd w:id="0"/>
      <w:r>
        <w:rPr>
          <w:sz w:val="28"/>
          <w:szCs w:val="28"/>
        </w:rPr>
        <w:t xml:space="preserve"> officer will be firing into a bullet trap.  Several MPD officers will be at each site to ensure that these tests will be conducted safely and in a very secure manner.</w:t>
      </w:r>
    </w:p>
    <w:p w:rsidR="00AC400A" w:rsidRPr="00AC400A" w:rsidRDefault="00AC400A" w:rsidP="00AC400A">
      <w:pPr>
        <w:rPr>
          <w:sz w:val="16"/>
          <w:szCs w:val="16"/>
        </w:rPr>
      </w:pPr>
    </w:p>
    <w:p w:rsidR="00AC400A" w:rsidRDefault="00AC400A" w:rsidP="00AC400A">
      <w:pPr>
        <w:rPr>
          <w:sz w:val="28"/>
          <w:szCs w:val="28"/>
        </w:rPr>
      </w:pPr>
      <w:r>
        <w:rPr>
          <w:sz w:val="28"/>
          <w:szCs w:val="28"/>
        </w:rPr>
        <w:t>The Minneapolis Police Department cannot disclose where these tests will take place; the MPD does not release the location of Shot Spotter detectors for proprietary and investigatory reasons.</w:t>
      </w:r>
    </w:p>
    <w:p w:rsidR="00AC400A" w:rsidRPr="00AC400A" w:rsidRDefault="00AC400A" w:rsidP="00AC400A">
      <w:pPr>
        <w:rPr>
          <w:sz w:val="16"/>
          <w:szCs w:val="16"/>
        </w:rPr>
      </w:pPr>
    </w:p>
    <w:p w:rsidR="00AC400A" w:rsidRDefault="00AC400A" w:rsidP="00AC400A">
      <w:pPr>
        <w:rPr>
          <w:b/>
          <w:bCs/>
          <w:sz w:val="36"/>
          <w:szCs w:val="36"/>
        </w:rPr>
      </w:pPr>
      <w:r>
        <w:rPr>
          <w:sz w:val="28"/>
          <w:szCs w:val="28"/>
        </w:rPr>
        <w:t>We appreciate the public’s patience and understanding as we conduct these short tests.</w:t>
      </w:r>
    </w:p>
    <w:p w:rsidR="00AC400A" w:rsidRPr="00AC400A" w:rsidRDefault="00AC400A" w:rsidP="0013300B">
      <w:pPr>
        <w:jc w:val="center"/>
        <w:rPr>
          <w:sz w:val="16"/>
          <w:szCs w:val="16"/>
        </w:rPr>
      </w:pPr>
    </w:p>
    <w:p w:rsidR="0013300B" w:rsidRDefault="0013300B" w:rsidP="0013300B">
      <w:pPr>
        <w:jc w:val="center"/>
      </w:pPr>
      <w:r>
        <w:t>####</w:t>
      </w:r>
    </w:p>
    <w:sectPr w:rsidR="00133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0B"/>
    <w:rsid w:val="0013300B"/>
    <w:rsid w:val="00232F17"/>
    <w:rsid w:val="004A446F"/>
    <w:rsid w:val="0060442E"/>
    <w:rsid w:val="00690EA4"/>
    <w:rsid w:val="00706030"/>
    <w:rsid w:val="00AC400A"/>
    <w:rsid w:val="00E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0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F2D88.E9070F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2D88.E9070F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cott.seroka@minneapolism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elder@minneapolis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Elder, John A.</dc:creator>
  <cp:lastModifiedBy>Elder, John A.</cp:lastModifiedBy>
  <cp:revision>3</cp:revision>
  <cp:lastPrinted>2014-09-17T17:13:00Z</cp:lastPrinted>
  <dcterms:created xsi:type="dcterms:W3CDTF">2014-09-17T17:13:00Z</dcterms:created>
  <dcterms:modified xsi:type="dcterms:W3CDTF">2014-09-17T17:20:00Z</dcterms:modified>
</cp:coreProperties>
</file>